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26" w:rsidRDefault="00104A26" w:rsidP="0097791B">
      <w:pPr>
        <w:spacing w:after="0" w:line="240" w:lineRule="auto"/>
        <w:ind w:right="180"/>
        <w:rPr>
          <w:rFonts w:ascii="Century Gothic" w:hAnsi="Century Gothic"/>
          <w:b/>
          <w:sz w:val="16"/>
        </w:rPr>
      </w:pPr>
    </w:p>
    <w:p w:rsidR="00104A26" w:rsidRDefault="00104A26" w:rsidP="00104A26">
      <w:pPr>
        <w:spacing w:after="0" w:line="240" w:lineRule="auto"/>
        <w:ind w:right="180"/>
        <w:rPr>
          <w:rFonts w:ascii="Century Gothic" w:hAnsi="Century Gothic"/>
          <w:b/>
          <w:sz w:val="16"/>
        </w:rPr>
      </w:pPr>
    </w:p>
    <w:p w:rsidR="00104A26" w:rsidRDefault="00104A26" w:rsidP="0097791B">
      <w:pPr>
        <w:spacing w:after="0" w:line="240" w:lineRule="auto"/>
        <w:ind w:right="180"/>
        <w:jc w:val="right"/>
        <w:rPr>
          <w:rFonts w:ascii="Century Gothic" w:hAnsi="Century Gothic"/>
          <w:b/>
          <w:sz w:val="16"/>
        </w:rPr>
      </w:pPr>
    </w:p>
    <w:p w:rsidR="0097791B" w:rsidRPr="0097791B" w:rsidRDefault="0097791B" w:rsidP="0097791B">
      <w:pPr>
        <w:spacing w:after="0" w:line="240" w:lineRule="auto"/>
        <w:ind w:right="180"/>
        <w:jc w:val="right"/>
        <w:rPr>
          <w:rFonts w:ascii="Century Gothic" w:hAnsi="Century Gothic"/>
          <w:b/>
          <w:sz w:val="16"/>
        </w:rPr>
      </w:pPr>
      <w:r w:rsidRPr="0097791B">
        <w:rPr>
          <w:rFonts w:ascii="Century Gothic" w:hAnsi="Century Gothic"/>
          <w:b/>
          <w:sz w:val="16"/>
        </w:rPr>
        <w:t>WESTERN DISTRIBUTION CENTER</w:t>
      </w:r>
    </w:p>
    <w:p w:rsidR="0097791B" w:rsidRPr="0097791B" w:rsidRDefault="0097791B" w:rsidP="0097791B">
      <w:pPr>
        <w:spacing w:after="0" w:line="240" w:lineRule="auto"/>
        <w:ind w:right="180"/>
        <w:jc w:val="right"/>
        <w:rPr>
          <w:rFonts w:ascii="Century Gothic" w:hAnsi="Century Gothic"/>
          <w:b/>
          <w:sz w:val="16"/>
        </w:rPr>
      </w:pPr>
      <w:r w:rsidRPr="0097791B">
        <w:rPr>
          <w:rFonts w:ascii="Century Gothic" w:hAnsi="Century Gothic"/>
          <w:b/>
          <w:sz w:val="16"/>
        </w:rPr>
        <w:t>(HEADQUARTER)</w:t>
      </w:r>
    </w:p>
    <w:p w:rsidR="0097791B" w:rsidRPr="0097791B" w:rsidRDefault="0097791B" w:rsidP="0097791B">
      <w:pPr>
        <w:spacing w:after="0" w:line="240" w:lineRule="auto"/>
        <w:ind w:right="180"/>
        <w:jc w:val="right"/>
        <w:rPr>
          <w:rFonts w:ascii="Century Gothic" w:hAnsi="Century Gothic"/>
          <w:sz w:val="16"/>
        </w:rPr>
      </w:pPr>
      <w:r w:rsidRPr="0097791B">
        <w:rPr>
          <w:rFonts w:ascii="Century Gothic" w:hAnsi="Century Gothic"/>
          <w:sz w:val="16"/>
        </w:rPr>
        <w:t>253 NORTH VINELAND AVE</w:t>
      </w:r>
    </w:p>
    <w:p w:rsidR="002C6E6C" w:rsidRDefault="0097791B" w:rsidP="0097791B">
      <w:pPr>
        <w:spacing w:after="0" w:line="240" w:lineRule="auto"/>
        <w:ind w:right="180"/>
        <w:jc w:val="right"/>
        <w:rPr>
          <w:rFonts w:ascii="Century Gothic" w:hAnsi="Century Gothic"/>
          <w:sz w:val="16"/>
        </w:rPr>
      </w:pPr>
      <w:r w:rsidRPr="0097791B">
        <w:rPr>
          <w:rFonts w:ascii="Century Gothic" w:hAnsi="Century Gothic"/>
          <w:sz w:val="16"/>
        </w:rPr>
        <w:t>CITY OF INDUSTRY, CA 91746</w:t>
      </w:r>
    </w:p>
    <w:p w:rsidR="0097791B" w:rsidRDefault="0097791B" w:rsidP="0097791B">
      <w:pPr>
        <w:spacing w:after="0" w:line="240" w:lineRule="auto"/>
        <w:ind w:right="180"/>
        <w:jc w:val="right"/>
        <w:rPr>
          <w:rFonts w:ascii="Century Gothic" w:hAnsi="Century Gothic"/>
          <w:b/>
          <w:sz w:val="16"/>
        </w:rPr>
      </w:pPr>
      <w:r>
        <w:rPr>
          <w:rFonts w:ascii="Century Gothic" w:hAnsi="Century Gothic"/>
          <w:b/>
          <w:sz w:val="16"/>
        </w:rPr>
        <w:t xml:space="preserve"> </w:t>
      </w:r>
    </w:p>
    <w:p w:rsidR="0097791B" w:rsidRDefault="0097791B" w:rsidP="0097791B">
      <w:pPr>
        <w:spacing w:after="0" w:line="240" w:lineRule="auto"/>
        <w:ind w:right="180"/>
        <w:jc w:val="right"/>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p>
    <w:p w:rsidR="0097791B" w:rsidRPr="0097791B" w:rsidRDefault="0097791B" w:rsidP="0097791B">
      <w:pPr>
        <w:spacing w:after="0" w:line="240" w:lineRule="auto"/>
        <w:ind w:right="180"/>
        <w:jc w:val="right"/>
        <w:rPr>
          <w:rFonts w:ascii="Century Gothic" w:hAnsi="Century Gothic"/>
          <w:sz w:val="16"/>
        </w:rPr>
      </w:pPr>
    </w:p>
    <w:p w:rsidR="0097791B" w:rsidRPr="0097791B" w:rsidRDefault="0097791B" w:rsidP="0097791B">
      <w:pPr>
        <w:spacing w:after="0" w:line="240" w:lineRule="auto"/>
        <w:ind w:right="180"/>
        <w:jc w:val="right"/>
        <w:rPr>
          <w:rFonts w:ascii="Century Gothic" w:hAnsi="Century Gothic"/>
          <w:b/>
          <w:sz w:val="16"/>
        </w:rPr>
      </w:pPr>
      <w:r w:rsidRPr="0097791B">
        <w:rPr>
          <w:rFonts w:ascii="Century Gothic" w:hAnsi="Century Gothic"/>
          <w:b/>
          <w:sz w:val="16"/>
        </w:rPr>
        <w:t>EASTERN DISTRIBUTION CENTER</w:t>
      </w:r>
    </w:p>
    <w:p w:rsidR="0097791B" w:rsidRPr="0097791B" w:rsidRDefault="0097791B" w:rsidP="0097791B">
      <w:pPr>
        <w:spacing w:after="0" w:line="240" w:lineRule="auto"/>
        <w:ind w:right="180"/>
        <w:jc w:val="right"/>
        <w:rPr>
          <w:rFonts w:ascii="Century Gothic" w:hAnsi="Century Gothic"/>
          <w:sz w:val="16"/>
        </w:rPr>
      </w:pPr>
      <w:r w:rsidRPr="0097791B">
        <w:rPr>
          <w:rFonts w:ascii="Century Gothic" w:hAnsi="Century Gothic"/>
          <w:sz w:val="16"/>
        </w:rPr>
        <w:t>4200 SHIRLEY DR.</w:t>
      </w:r>
    </w:p>
    <w:p w:rsidR="0097791B" w:rsidRDefault="0097791B" w:rsidP="0097791B">
      <w:pPr>
        <w:spacing w:after="0" w:line="240" w:lineRule="auto"/>
        <w:ind w:right="180"/>
        <w:jc w:val="right"/>
        <w:rPr>
          <w:rFonts w:ascii="Century Gothic" w:hAnsi="Century Gothic"/>
          <w:sz w:val="16"/>
        </w:rPr>
      </w:pPr>
      <w:r w:rsidRPr="0097791B">
        <w:rPr>
          <w:rFonts w:ascii="Century Gothic" w:hAnsi="Century Gothic"/>
          <w:sz w:val="16"/>
        </w:rPr>
        <w:t>ATLANTA, GA 3033</w:t>
      </w:r>
    </w:p>
    <w:p w:rsidR="0097791B" w:rsidRDefault="0097791B" w:rsidP="0097791B">
      <w:pPr>
        <w:spacing w:after="0" w:line="240" w:lineRule="auto"/>
        <w:ind w:right="180"/>
        <w:jc w:val="right"/>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p>
    <w:p w:rsidR="0097791B" w:rsidRPr="0097791B" w:rsidRDefault="0097791B" w:rsidP="0097791B">
      <w:pPr>
        <w:spacing w:after="0" w:line="240" w:lineRule="auto"/>
        <w:ind w:right="180"/>
        <w:jc w:val="right"/>
        <w:rPr>
          <w:rFonts w:ascii="Century Gothic" w:hAnsi="Century Gothic"/>
          <w:sz w:val="16"/>
        </w:rPr>
      </w:pPr>
      <w:r w:rsidRPr="0097791B">
        <w:rPr>
          <w:rFonts w:ascii="Century Gothic" w:hAnsi="Century Gothic"/>
          <w:b/>
          <w:sz w:val="16"/>
        </w:rPr>
        <w:t>P.</w:t>
      </w:r>
      <w:r w:rsidRPr="0097791B">
        <w:rPr>
          <w:rFonts w:ascii="Century Gothic" w:hAnsi="Century Gothic"/>
          <w:sz w:val="16"/>
        </w:rPr>
        <w:t xml:space="preserve"> 626.956.4200</w:t>
      </w:r>
    </w:p>
    <w:p w:rsidR="0097791B" w:rsidRPr="0097791B" w:rsidRDefault="0097791B" w:rsidP="0097791B">
      <w:pPr>
        <w:spacing w:after="0" w:line="240" w:lineRule="auto"/>
        <w:ind w:right="180"/>
        <w:jc w:val="right"/>
        <w:rPr>
          <w:rFonts w:ascii="Century Gothic" w:hAnsi="Century Gothic"/>
          <w:sz w:val="16"/>
        </w:rPr>
      </w:pPr>
      <w:r w:rsidRPr="0097791B">
        <w:rPr>
          <w:rFonts w:ascii="Century Gothic" w:hAnsi="Century Gothic"/>
          <w:b/>
          <w:sz w:val="16"/>
        </w:rPr>
        <w:t>F.</w:t>
      </w:r>
      <w:r w:rsidRPr="0097791B">
        <w:rPr>
          <w:rFonts w:ascii="Century Gothic" w:hAnsi="Century Gothic"/>
          <w:sz w:val="16"/>
        </w:rPr>
        <w:t xml:space="preserve"> 626.956.4225</w:t>
      </w:r>
    </w:p>
    <w:p w:rsidR="0097791B" w:rsidRDefault="0097791B" w:rsidP="0097791B">
      <w:pPr>
        <w:spacing w:after="0" w:line="240" w:lineRule="auto"/>
        <w:ind w:right="180"/>
        <w:rPr>
          <w:rFonts w:ascii="Century Gothic" w:hAnsi="Century Gothic"/>
          <w:sz w:val="16"/>
        </w:rPr>
      </w:pPr>
    </w:p>
    <w:p w:rsidR="003E2D67" w:rsidRDefault="003E2D67" w:rsidP="0097791B">
      <w:pPr>
        <w:spacing w:after="0" w:line="240" w:lineRule="auto"/>
        <w:ind w:right="180"/>
        <w:rPr>
          <w:rFonts w:ascii="Century Gothic" w:hAnsi="Century Gothic"/>
          <w:sz w:val="16"/>
        </w:rPr>
      </w:pPr>
    </w:p>
    <w:p w:rsidR="003E2D67" w:rsidRDefault="003E2D67" w:rsidP="0097791B">
      <w:pPr>
        <w:spacing w:after="0" w:line="240" w:lineRule="auto"/>
        <w:ind w:right="180"/>
        <w:rPr>
          <w:rFonts w:ascii="Century Gothic" w:hAnsi="Century Gothic"/>
          <w:sz w:val="16"/>
        </w:rPr>
      </w:pPr>
    </w:p>
    <w:p w:rsidR="003E2D67" w:rsidRPr="0097791B" w:rsidRDefault="003E2D67" w:rsidP="0097791B">
      <w:pPr>
        <w:spacing w:after="0" w:line="240" w:lineRule="auto"/>
        <w:ind w:right="180"/>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r w:rsidRPr="0097791B">
        <w:rPr>
          <w:rFonts w:ascii="Century Gothic" w:hAnsi="Century Gothic"/>
          <w:sz w:val="16"/>
        </w:rPr>
        <w:t>et2online.com</w:t>
      </w:r>
    </w:p>
    <w:p w:rsidR="0082797E" w:rsidRDefault="0082797E" w:rsidP="0082797E">
      <w:pPr>
        <w:pStyle w:val="NormalWeb"/>
        <w:spacing w:before="0" w:beforeAutospacing="0" w:after="0" w:afterAutospacing="0"/>
        <w:rPr>
          <w:color w:val="1C1E29"/>
        </w:rPr>
      </w:pPr>
    </w:p>
    <w:p w:rsidR="00A2503E" w:rsidRDefault="00A2503E" w:rsidP="0082797E">
      <w:pPr>
        <w:pStyle w:val="NormalWeb"/>
        <w:spacing w:before="0" w:beforeAutospacing="0" w:after="0" w:afterAutospacing="0"/>
        <w:rPr>
          <w:color w:val="1C1E29"/>
        </w:rPr>
      </w:pPr>
    </w:p>
    <w:p w:rsidR="00A2503E" w:rsidRDefault="00A2503E" w:rsidP="0082797E">
      <w:pPr>
        <w:pStyle w:val="NormalWeb"/>
        <w:spacing w:before="0" w:beforeAutospacing="0" w:after="0" w:afterAutospacing="0"/>
        <w:rPr>
          <w:color w:val="1C1E29"/>
        </w:rPr>
      </w:pPr>
    </w:p>
    <w:p w:rsidR="0082797E" w:rsidRPr="00A2503E" w:rsidRDefault="0082797E" w:rsidP="0082797E">
      <w:pPr>
        <w:pStyle w:val="NormalWeb"/>
        <w:spacing w:before="0" w:beforeAutospacing="0" w:after="0" w:afterAutospacing="0"/>
        <w:jc w:val="right"/>
        <w:rPr>
          <w:rFonts w:ascii="Century Gothic" w:hAnsi="Century Gothic"/>
          <w:b/>
          <w:color w:val="1C1E29"/>
          <w:sz w:val="22"/>
          <w:szCs w:val="22"/>
        </w:rPr>
      </w:pPr>
      <w:r w:rsidRPr="00A2503E">
        <w:rPr>
          <w:rFonts w:ascii="Century Gothic" w:hAnsi="Century Gothic"/>
          <w:b/>
          <w:color w:val="1C1E29"/>
          <w:sz w:val="22"/>
          <w:szCs w:val="22"/>
        </w:rPr>
        <w:t>PRESS CONTACT</w:t>
      </w:r>
    </w:p>
    <w:p w:rsidR="0082797E" w:rsidRPr="0082797E" w:rsidRDefault="0082797E" w:rsidP="0082797E">
      <w:pPr>
        <w:pStyle w:val="NormalWeb"/>
        <w:spacing w:before="0" w:beforeAutospacing="0" w:after="0" w:afterAutospacing="0"/>
        <w:jc w:val="right"/>
        <w:rPr>
          <w:rFonts w:ascii="Century Gothic" w:hAnsi="Century Gothic"/>
          <w:color w:val="1C1E29"/>
          <w:sz w:val="20"/>
          <w:szCs w:val="20"/>
        </w:rPr>
      </w:pPr>
      <w:r w:rsidRPr="0082797E">
        <w:rPr>
          <w:rFonts w:ascii="Century Gothic" w:hAnsi="Century Gothic"/>
          <w:color w:val="1C1E29"/>
          <w:sz w:val="20"/>
          <w:szCs w:val="20"/>
        </w:rPr>
        <w:t>Adena Sperling</w:t>
      </w:r>
    </w:p>
    <w:p w:rsidR="0082797E" w:rsidRPr="0082797E" w:rsidRDefault="0082797E" w:rsidP="0082797E">
      <w:pPr>
        <w:pStyle w:val="NormalWeb"/>
        <w:spacing w:before="0" w:beforeAutospacing="0" w:after="0" w:afterAutospacing="0"/>
        <w:jc w:val="right"/>
        <w:rPr>
          <w:rFonts w:ascii="Century Gothic" w:hAnsi="Century Gothic"/>
          <w:color w:val="1C1E29"/>
          <w:sz w:val="20"/>
          <w:szCs w:val="20"/>
        </w:rPr>
      </w:pPr>
      <w:r w:rsidRPr="0082797E">
        <w:rPr>
          <w:rFonts w:ascii="Century Gothic" w:hAnsi="Century Gothic"/>
          <w:color w:val="1C1E29"/>
          <w:sz w:val="20"/>
          <w:szCs w:val="20"/>
        </w:rPr>
        <w:t xml:space="preserve">ET2 Lighting </w:t>
      </w:r>
    </w:p>
    <w:p w:rsidR="0082797E" w:rsidRPr="0082797E" w:rsidRDefault="0082797E" w:rsidP="0082797E">
      <w:pPr>
        <w:pStyle w:val="NormalWeb"/>
        <w:spacing w:before="0" w:beforeAutospacing="0" w:after="0" w:afterAutospacing="0"/>
        <w:jc w:val="right"/>
        <w:rPr>
          <w:rFonts w:ascii="Century Gothic" w:hAnsi="Century Gothic"/>
          <w:color w:val="1C1E29"/>
          <w:sz w:val="20"/>
          <w:szCs w:val="20"/>
        </w:rPr>
      </w:pPr>
      <w:r w:rsidRPr="0082797E">
        <w:rPr>
          <w:rFonts w:ascii="Century Gothic" w:hAnsi="Century Gothic"/>
          <w:color w:val="1C1E29"/>
          <w:sz w:val="20"/>
          <w:szCs w:val="20"/>
        </w:rPr>
        <w:t xml:space="preserve">253 N. Vineland Ave. </w:t>
      </w:r>
    </w:p>
    <w:p w:rsidR="0082797E" w:rsidRPr="0082797E" w:rsidRDefault="0082797E" w:rsidP="0082797E">
      <w:pPr>
        <w:pStyle w:val="NormalWeb"/>
        <w:spacing w:before="0" w:beforeAutospacing="0" w:after="0" w:afterAutospacing="0"/>
        <w:jc w:val="right"/>
        <w:rPr>
          <w:rFonts w:ascii="Century Gothic" w:hAnsi="Century Gothic"/>
          <w:color w:val="1C1E29"/>
          <w:sz w:val="20"/>
          <w:szCs w:val="20"/>
        </w:rPr>
      </w:pPr>
      <w:r w:rsidRPr="0082797E">
        <w:rPr>
          <w:rFonts w:ascii="Century Gothic" w:hAnsi="Century Gothic"/>
          <w:color w:val="1C1E29"/>
          <w:sz w:val="20"/>
          <w:szCs w:val="20"/>
        </w:rPr>
        <w:t>City of Industry, CA 91746</w:t>
      </w:r>
    </w:p>
    <w:p w:rsidR="0082797E" w:rsidRPr="0082797E" w:rsidRDefault="0082797E" w:rsidP="0082797E">
      <w:pPr>
        <w:pStyle w:val="NormalWeb"/>
        <w:spacing w:before="0" w:beforeAutospacing="0" w:after="0" w:afterAutospacing="0"/>
        <w:jc w:val="right"/>
        <w:rPr>
          <w:rFonts w:ascii="Century Gothic" w:hAnsi="Century Gothic"/>
          <w:color w:val="1C1E29"/>
          <w:sz w:val="20"/>
          <w:szCs w:val="20"/>
        </w:rPr>
      </w:pPr>
      <w:r w:rsidRPr="0082797E">
        <w:rPr>
          <w:rFonts w:ascii="Century Gothic" w:hAnsi="Century Gothic"/>
          <w:color w:val="1C1E29"/>
          <w:sz w:val="20"/>
          <w:szCs w:val="20"/>
        </w:rPr>
        <w:t xml:space="preserve">(626) 956-4200 Ext.2110 </w:t>
      </w:r>
      <w:hyperlink r:id="rId6" w:tgtFrame="_blank" w:history="1">
        <w:r w:rsidRPr="0082797E">
          <w:rPr>
            <w:rStyle w:val="Hyperlink"/>
            <w:rFonts w:ascii="Century Gothic" w:hAnsi="Century Gothic"/>
            <w:color w:val="4A6EE0"/>
            <w:sz w:val="20"/>
            <w:szCs w:val="20"/>
          </w:rPr>
          <w:t>adenas@maximlighting.com</w:t>
        </w:r>
      </w:hyperlink>
    </w:p>
    <w:p w:rsidR="0097791B" w:rsidRDefault="0097791B" w:rsidP="0097791B">
      <w:pPr>
        <w:spacing w:after="0" w:line="240" w:lineRule="auto"/>
        <w:ind w:right="180"/>
        <w:jc w:val="right"/>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p>
    <w:p w:rsidR="0097791B" w:rsidRDefault="00E525D4" w:rsidP="00104A26">
      <w:pPr>
        <w:spacing w:after="0" w:line="240" w:lineRule="auto"/>
        <w:jc w:val="right"/>
        <w:rPr>
          <w:rFonts w:ascii="Century Gothic" w:hAnsi="Century Gothic"/>
          <w:sz w:val="16"/>
        </w:rPr>
      </w:pPr>
      <w:r>
        <w:rPr>
          <w:rFonts w:ascii="Century Gothic" w:hAnsi="Century Gothic"/>
          <w:sz w:val="16"/>
        </w:rPr>
        <w:t xml:space="preserve">  </w:t>
      </w:r>
    </w:p>
    <w:p w:rsidR="0097791B" w:rsidRDefault="0097791B" w:rsidP="0097791B">
      <w:pPr>
        <w:spacing w:after="0" w:line="240" w:lineRule="auto"/>
        <w:ind w:right="180"/>
        <w:jc w:val="right"/>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p>
    <w:p w:rsidR="0097791B" w:rsidRDefault="0097791B" w:rsidP="0097791B">
      <w:pPr>
        <w:spacing w:after="0" w:line="240" w:lineRule="auto"/>
        <w:ind w:right="180"/>
        <w:jc w:val="right"/>
        <w:rPr>
          <w:rFonts w:ascii="Century Gothic" w:hAnsi="Century Gothic"/>
          <w:sz w:val="16"/>
        </w:rPr>
      </w:pPr>
    </w:p>
    <w:p w:rsidR="0082797E" w:rsidRDefault="0082797E" w:rsidP="0097791B">
      <w:pPr>
        <w:spacing w:after="0" w:line="240" w:lineRule="auto"/>
        <w:ind w:right="180"/>
        <w:jc w:val="both"/>
        <w:rPr>
          <w:rFonts w:ascii="Century Gothic" w:hAnsi="Century Gothic"/>
          <w:sz w:val="16"/>
        </w:rPr>
      </w:pPr>
    </w:p>
    <w:p w:rsidR="0082797E" w:rsidRDefault="0082797E" w:rsidP="0097791B">
      <w:pPr>
        <w:spacing w:after="0" w:line="240" w:lineRule="auto"/>
        <w:ind w:right="180"/>
        <w:jc w:val="both"/>
        <w:rPr>
          <w:rFonts w:ascii="Century Gothic" w:hAnsi="Century Gothic"/>
          <w:b/>
          <w:sz w:val="20"/>
        </w:rPr>
      </w:pPr>
    </w:p>
    <w:p w:rsidR="00104A26" w:rsidRDefault="00104A26" w:rsidP="0097791B">
      <w:pPr>
        <w:spacing w:after="0" w:line="240" w:lineRule="auto"/>
        <w:ind w:right="180"/>
        <w:jc w:val="both"/>
        <w:rPr>
          <w:rFonts w:ascii="Century Gothic" w:hAnsi="Century Gothic"/>
          <w:b/>
          <w:sz w:val="20"/>
        </w:rPr>
      </w:pPr>
    </w:p>
    <w:p w:rsidR="000745B0" w:rsidRDefault="000745B0" w:rsidP="0097791B">
      <w:pPr>
        <w:spacing w:after="0" w:line="240" w:lineRule="auto"/>
        <w:ind w:right="180"/>
        <w:jc w:val="both"/>
        <w:rPr>
          <w:rFonts w:ascii="Century Gothic" w:hAnsi="Century Gothic"/>
          <w:b/>
          <w:sz w:val="20"/>
        </w:rPr>
      </w:pPr>
    </w:p>
    <w:p w:rsidR="000745B0" w:rsidRDefault="000745B0" w:rsidP="0097791B">
      <w:pPr>
        <w:spacing w:after="0" w:line="240" w:lineRule="auto"/>
        <w:ind w:right="180"/>
        <w:jc w:val="both"/>
        <w:rPr>
          <w:rFonts w:ascii="Century Gothic" w:hAnsi="Century Gothic"/>
          <w:b/>
          <w:sz w:val="20"/>
        </w:rPr>
      </w:pPr>
    </w:p>
    <w:p w:rsidR="0019512B" w:rsidRPr="00A647F9" w:rsidRDefault="0019512B" w:rsidP="000D730F">
      <w:pPr>
        <w:jc w:val="both"/>
        <w:rPr>
          <w:b/>
          <w:sz w:val="36"/>
          <w:szCs w:val="36"/>
        </w:rPr>
      </w:pPr>
      <w:r w:rsidRPr="00A647F9">
        <w:rPr>
          <w:b/>
          <w:sz w:val="36"/>
          <w:szCs w:val="36"/>
        </w:rPr>
        <w:t>Minimal Design Aesthetics Meet Oversized Form</w:t>
      </w:r>
    </w:p>
    <w:p w:rsidR="00646129" w:rsidRDefault="009E401F" w:rsidP="00646129">
      <w:pPr>
        <w:pStyle w:val="NormalWeb"/>
        <w:spacing w:before="0" w:beforeAutospacing="0" w:after="0" w:afterAutospacing="0"/>
        <w:rPr>
          <w:b/>
          <w:color w:val="1C1E29"/>
        </w:rPr>
      </w:pPr>
      <w:r>
        <w:rPr>
          <w:b/>
          <w:color w:val="1C1E29"/>
        </w:rPr>
        <w:t>January 22</w:t>
      </w:r>
      <w:r w:rsidR="0019512B" w:rsidRPr="0019512B">
        <w:rPr>
          <w:b/>
          <w:color w:val="1C1E29"/>
        </w:rPr>
        <w:t>, 2020</w:t>
      </w:r>
    </w:p>
    <w:p w:rsidR="00646129" w:rsidRPr="00646129" w:rsidRDefault="00646129" w:rsidP="00646129">
      <w:pPr>
        <w:pStyle w:val="NormalWeb"/>
        <w:spacing w:before="0" w:beforeAutospacing="0" w:after="0" w:afterAutospacing="0"/>
        <w:rPr>
          <w:b/>
          <w:color w:val="1C1E29"/>
        </w:rPr>
      </w:pPr>
      <w:r w:rsidRPr="00646129">
        <w:rPr>
          <w:color w:val="1C1E29"/>
        </w:rPr>
        <w:t xml:space="preserve">City of Industry, CA - ET2 brings you the </w:t>
      </w:r>
      <w:hyperlink r:id="rId7" w:history="1">
        <w:r w:rsidRPr="008F56D9">
          <w:rPr>
            <w:rStyle w:val="Hyperlink"/>
          </w:rPr>
          <w:t>Form Collection</w:t>
        </w:r>
      </w:hyperlink>
      <w:r w:rsidRPr="00646129">
        <w:rPr>
          <w:color w:val="1C1E29"/>
        </w:rPr>
        <w:t xml:space="preserve">, available in two oversized </w:t>
      </w:r>
      <w:r w:rsidR="009E401F">
        <w:rPr>
          <w:color w:val="1C1E29"/>
        </w:rPr>
        <w:t>styles</w:t>
      </w:r>
      <w:r w:rsidRPr="00646129">
        <w:rPr>
          <w:color w:val="1C1E29"/>
        </w:rPr>
        <w:t xml:space="preserve">. While the size may seem towering, the open-air design minimizes the overall footprint and allows for a clean, contemporary design that looks more like a piece of art than a light fixture. Inspired by glam decor, this unique piece accessorizes your home with its elegant structure </w:t>
      </w:r>
      <w:r>
        <w:rPr>
          <w:color w:val="1C1E29"/>
        </w:rPr>
        <w:t>and stunning rose gold finish.</w:t>
      </w:r>
    </w:p>
    <w:p w:rsidR="00646129" w:rsidRDefault="00646129" w:rsidP="00646129">
      <w:pPr>
        <w:pStyle w:val="NormalWeb"/>
        <w:spacing w:after="0"/>
        <w:rPr>
          <w:color w:val="1C1E29"/>
        </w:rPr>
      </w:pPr>
      <w:r w:rsidRPr="00646129">
        <w:rPr>
          <w:color w:val="1C1E29"/>
        </w:rPr>
        <w:t xml:space="preserve">Blurring the line between pendant and chandelier, oversized pendants allow you to make a bold statement with your home decor. The average pendant ranges from 5" - 30" wide and typically has a hanging height of approximately 24" - 30." Anything above that is categorized as an oversized pendant. While the total size of these fixtures is quite large, they don't have to be overpowering. These </w:t>
      </w:r>
      <w:r>
        <w:rPr>
          <w:color w:val="1C1E29"/>
        </w:rPr>
        <w:t>pendants</w:t>
      </w:r>
      <w:r w:rsidRPr="00646129">
        <w:rPr>
          <w:color w:val="1C1E29"/>
        </w:rPr>
        <w:t xml:space="preserve"> not only light up the room but they draw your gaze upward, allowing th</w:t>
      </w:r>
      <w:r w:rsidR="009E401F">
        <w:rPr>
          <w:color w:val="1C1E29"/>
        </w:rPr>
        <w:t>e room to seem more elevated</w:t>
      </w:r>
      <w:r w:rsidRPr="00646129">
        <w:rPr>
          <w:color w:val="1C1E29"/>
        </w:rPr>
        <w:t>.</w:t>
      </w:r>
    </w:p>
    <w:p w:rsidR="00A2503E" w:rsidRDefault="00646129" w:rsidP="008F56D9">
      <w:pPr>
        <w:pStyle w:val="NormalWeb"/>
        <w:spacing w:after="0"/>
        <w:rPr>
          <w:color w:val="1C1E29"/>
        </w:rPr>
      </w:pPr>
      <w:r w:rsidRPr="00646129">
        <w:rPr>
          <w:color w:val="1C1E29"/>
        </w:rPr>
        <w:t xml:space="preserve">First introduced in the summer of 2018, </w:t>
      </w:r>
      <w:r>
        <w:rPr>
          <w:color w:val="1C1E29"/>
        </w:rPr>
        <w:t>the Form</w:t>
      </w:r>
      <w:r w:rsidRPr="00646129">
        <w:rPr>
          <w:color w:val="1C1E29"/>
        </w:rPr>
        <w:t xml:space="preserve"> has been turning heads in showrooms ever since and has inspired others to attempt their own rendition of this stunning, timeless design. Rings of Rose Gold finish are fused together to create a soft square sculpture. These large scale pieces are not only beautiful but also functional with high powered integrated LED. This dimmable light fixture is made of stainless steel in a geometric shape, making it easy to see why this statement piece furthers ET2's cutting edge design style.</w:t>
      </w:r>
      <w:r w:rsidR="008F56D9">
        <w:rPr>
          <w:color w:val="1C1E29"/>
        </w:rPr>
        <w:br/>
      </w:r>
      <w:r w:rsidR="008F56D9">
        <w:rPr>
          <w:color w:val="1C1E29"/>
          <w:sz w:val="20"/>
          <w:szCs w:val="20"/>
        </w:rPr>
        <w:br/>
      </w:r>
      <w:r w:rsidR="009E401F">
        <w:rPr>
          <w:noProof/>
          <w:color w:val="1C1E29"/>
        </w:rPr>
        <w:drawing>
          <wp:inline distT="0" distB="0" distL="0" distR="0">
            <wp:extent cx="3615182" cy="23812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22126-RG_Life Sty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6981" cy="2408782"/>
                    </a:xfrm>
                    <a:prstGeom prst="rect">
                      <a:avLst/>
                    </a:prstGeom>
                  </pic:spPr>
                </pic:pic>
              </a:graphicData>
            </a:graphic>
          </wp:inline>
        </w:drawing>
      </w:r>
      <w:r w:rsidR="008F56D9">
        <w:rPr>
          <w:color w:val="1C1E29"/>
          <w:sz w:val="20"/>
          <w:szCs w:val="20"/>
        </w:rPr>
        <w:br/>
      </w:r>
      <w:hyperlink r:id="rId9" w:history="1">
        <w:r w:rsidR="008F56D9" w:rsidRPr="008F56D9">
          <w:rPr>
            <w:rStyle w:val="Hyperlink"/>
            <w:sz w:val="20"/>
            <w:szCs w:val="20"/>
          </w:rPr>
          <w:t>VIEW FORM COLLECTION</w:t>
        </w:r>
      </w:hyperlink>
      <w:r w:rsidR="008F56D9">
        <w:rPr>
          <w:color w:val="1C1E29"/>
          <w:sz w:val="20"/>
          <w:szCs w:val="20"/>
        </w:rPr>
        <w:br/>
      </w:r>
      <w:r w:rsidR="0019512B">
        <w:rPr>
          <w:rStyle w:val="Strong"/>
          <w:color w:val="1C1E29"/>
        </w:rPr>
        <w:t>About ET2 Lighting</w:t>
      </w:r>
      <w:r w:rsidR="008F56D9">
        <w:rPr>
          <w:color w:val="1C1E29"/>
        </w:rPr>
        <w:br/>
      </w:r>
      <w:r w:rsidR="0019512B">
        <w:rPr>
          <w:color w:val="1C1E29"/>
        </w:rPr>
        <w:t>With over 6,000 products, ET2’s growth and success stems from one simple, but enduring concept— treat customers and employees like family, and never settle for less than excellence. This philosophy attracts the industry's finest designers, engineers, and manufacturers each dedicated to creating innovative lighting solutions best described as functional art.</w:t>
      </w:r>
      <w:bookmarkStart w:id="0" w:name="_GoBack"/>
      <w:bookmarkEnd w:id="0"/>
    </w:p>
    <w:sectPr w:rsidR="00A2503E" w:rsidSect="00104A26">
      <w:headerReference w:type="default" r:id="rId10"/>
      <w:pgSz w:w="12240" w:h="15840"/>
      <w:pgMar w:top="1440" w:right="720" w:bottom="1440" w:left="630" w:header="720" w:footer="720" w:gutter="0"/>
      <w:cols w:num="2" w:space="432" w:equalWidth="0">
        <w:col w:w="2880" w:space="432"/>
        <w:col w:w="757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43E" w:rsidRDefault="0032243E" w:rsidP="00104A26">
      <w:pPr>
        <w:spacing w:after="0" w:line="240" w:lineRule="auto"/>
      </w:pPr>
      <w:r>
        <w:separator/>
      </w:r>
    </w:p>
  </w:endnote>
  <w:endnote w:type="continuationSeparator" w:id="0">
    <w:p w:rsidR="0032243E" w:rsidRDefault="0032243E" w:rsidP="0010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43E" w:rsidRDefault="0032243E" w:rsidP="00104A26">
      <w:pPr>
        <w:spacing w:after="0" w:line="240" w:lineRule="auto"/>
      </w:pPr>
      <w:r>
        <w:separator/>
      </w:r>
    </w:p>
  </w:footnote>
  <w:footnote w:type="continuationSeparator" w:id="0">
    <w:p w:rsidR="0032243E" w:rsidRDefault="0032243E" w:rsidP="00104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26" w:rsidRDefault="00104A26">
    <w:pPr>
      <w:pStyle w:val="Header"/>
    </w:pPr>
    <w:r>
      <w:t xml:space="preserve">      </w:t>
    </w:r>
    <w:r>
      <w:rPr>
        <w:rFonts w:ascii="Century Gothic" w:hAnsi="Century Gothic"/>
        <w:b/>
        <w:noProof/>
        <w:sz w:val="16"/>
      </w:rPr>
      <w:drawing>
        <wp:anchor distT="0" distB="0" distL="114300" distR="114300" simplePos="0" relativeHeight="251658240" behindDoc="0" locked="0" layoutInCell="1" allowOverlap="1">
          <wp:simplePos x="0" y="0"/>
          <wp:positionH relativeFrom="column">
            <wp:posOffset>190500</wp:posOffset>
          </wp:positionH>
          <wp:positionV relativeFrom="paragraph">
            <wp:posOffset>0</wp:posOffset>
          </wp:positionV>
          <wp:extent cx="1514475" cy="15144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2 LOGO-SQUARE 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1B"/>
    <w:rsid w:val="00042618"/>
    <w:rsid w:val="000745B0"/>
    <w:rsid w:val="000D730F"/>
    <w:rsid w:val="00104A26"/>
    <w:rsid w:val="0011651B"/>
    <w:rsid w:val="0019512B"/>
    <w:rsid w:val="002C6E6C"/>
    <w:rsid w:val="0032243E"/>
    <w:rsid w:val="003E2D67"/>
    <w:rsid w:val="00420A16"/>
    <w:rsid w:val="00522F77"/>
    <w:rsid w:val="005821C3"/>
    <w:rsid w:val="00646129"/>
    <w:rsid w:val="006506F5"/>
    <w:rsid w:val="00767E49"/>
    <w:rsid w:val="007C5C17"/>
    <w:rsid w:val="0080324D"/>
    <w:rsid w:val="008204B9"/>
    <w:rsid w:val="0082797E"/>
    <w:rsid w:val="008C69E7"/>
    <w:rsid w:val="008F56D9"/>
    <w:rsid w:val="0097791B"/>
    <w:rsid w:val="009D45D5"/>
    <w:rsid w:val="009E401F"/>
    <w:rsid w:val="00A2503E"/>
    <w:rsid w:val="00A647F9"/>
    <w:rsid w:val="00AF099B"/>
    <w:rsid w:val="00BA1FED"/>
    <w:rsid w:val="00BA512B"/>
    <w:rsid w:val="00C75E22"/>
    <w:rsid w:val="00E525D4"/>
    <w:rsid w:val="00F12912"/>
    <w:rsid w:val="00F16A4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2F700E-BE23-4B1A-807B-38D211D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91B"/>
    <w:rPr>
      <w:color w:val="0563C1" w:themeColor="hyperlink"/>
      <w:u w:val="single"/>
    </w:rPr>
  </w:style>
  <w:style w:type="paragraph" w:styleId="Header">
    <w:name w:val="header"/>
    <w:basedOn w:val="Normal"/>
    <w:link w:val="HeaderChar"/>
    <w:uiPriority w:val="99"/>
    <w:unhideWhenUsed/>
    <w:rsid w:val="00104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A26"/>
  </w:style>
  <w:style w:type="paragraph" w:styleId="Footer">
    <w:name w:val="footer"/>
    <w:basedOn w:val="Normal"/>
    <w:link w:val="FooterChar"/>
    <w:uiPriority w:val="99"/>
    <w:unhideWhenUsed/>
    <w:rsid w:val="00104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A26"/>
  </w:style>
  <w:style w:type="paragraph" w:styleId="BalloonText">
    <w:name w:val="Balloon Text"/>
    <w:basedOn w:val="Normal"/>
    <w:link w:val="BalloonTextChar"/>
    <w:uiPriority w:val="99"/>
    <w:semiHidden/>
    <w:unhideWhenUsed/>
    <w:rsid w:val="00104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A26"/>
    <w:rPr>
      <w:rFonts w:ascii="Segoe UI" w:hAnsi="Segoe UI" w:cs="Segoe UI"/>
      <w:sz w:val="18"/>
      <w:szCs w:val="18"/>
    </w:rPr>
  </w:style>
  <w:style w:type="paragraph" w:styleId="NormalWeb">
    <w:name w:val="Normal (Web)"/>
    <w:basedOn w:val="Normal"/>
    <w:uiPriority w:val="99"/>
    <w:unhideWhenUsed/>
    <w:rsid w:val="001951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12B"/>
    <w:rPr>
      <w:b/>
      <w:bCs/>
    </w:rPr>
  </w:style>
  <w:style w:type="table" w:styleId="TableGrid">
    <w:name w:val="Table Grid"/>
    <w:basedOn w:val="TableNormal"/>
    <w:uiPriority w:val="39"/>
    <w:rsid w:val="0019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39263">
      <w:bodyDiv w:val="1"/>
      <w:marLeft w:val="0"/>
      <w:marRight w:val="0"/>
      <w:marTop w:val="0"/>
      <w:marBottom w:val="0"/>
      <w:divBdr>
        <w:top w:val="none" w:sz="0" w:space="0" w:color="auto"/>
        <w:left w:val="none" w:sz="0" w:space="0" w:color="auto"/>
        <w:bottom w:val="none" w:sz="0" w:space="0" w:color="auto"/>
        <w:right w:val="none" w:sz="0" w:space="0" w:color="auto"/>
      </w:divBdr>
    </w:div>
    <w:div w:id="788351379">
      <w:bodyDiv w:val="1"/>
      <w:marLeft w:val="0"/>
      <w:marRight w:val="0"/>
      <w:marTop w:val="0"/>
      <w:marBottom w:val="0"/>
      <w:divBdr>
        <w:top w:val="none" w:sz="0" w:space="0" w:color="auto"/>
        <w:left w:val="none" w:sz="0" w:space="0" w:color="auto"/>
        <w:bottom w:val="none" w:sz="0" w:space="0" w:color="auto"/>
        <w:right w:val="none" w:sz="0" w:space="0" w:color="auto"/>
      </w:divBdr>
      <w:divsChild>
        <w:div w:id="2069108931">
          <w:marLeft w:val="0"/>
          <w:marRight w:val="0"/>
          <w:marTop w:val="0"/>
          <w:marBottom w:val="0"/>
          <w:divBdr>
            <w:top w:val="none" w:sz="0" w:space="0" w:color="auto"/>
            <w:left w:val="none" w:sz="0" w:space="0" w:color="auto"/>
            <w:bottom w:val="none" w:sz="0" w:space="0" w:color="auto"/>
            <w:right w:val="none" w:sz="0" w:space="0" w:color="auto"/>
          </w:divBdr>
        </w:div>
      </w:divsChild>
    </w:div>
    <w:div w:id="18675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et2online.com/indoor-collection/collection/for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enas@maximlightin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t2online.com/indoor-collection/collec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Megawati Tamajaya</dc:creator>
  <cp:keywords/>
  <dc:description/>
  <cp:lastModifiedBy>Ricky Ortiz</cp:lastModifiedBy>
  <cp:revision>12</cp:revision>
  <cp:lastPrinted>2020-01-21T17:25:00Z</cp:lastPrinted>
  <dcterms:created xsi:type="dcterms:W3CDTF">2020-01-16T17:18:00Z</dcterms:created>
  <dcterms:modified xsi:type="dcterms:W3CDTF">2020-01-22T19:41:00Z</dcterms:modified>
</cp:coreProperties>
</file>